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Arial" w:hAnsi="Arial"/>
          <w:b/>
          <w:color w:val="2563EB"/>
          <w:sz w:val="18"/>
        </w:rPr>
        <w:t>RÉFÉRENTIEL OFFICIEL MINISTÉRIEL — SESSION 2026</w:t>
        <w:br/>
      </w:r>
      <w:r>
        <w:rPr>
          <w:rFonts w:ascii="Arial" w:hAnsi="Arial"/>
          <w:b/>
          <w:color w:val="0F172A"/>
          <w:sz w:val="34"/>
        </w:rPr>
        <w:t>Trame Officielle Dossier de Projet E6 — Organisation des Opérations de Transport</w:t>
      </w:r>
    </w:p>
    <w:p>
      <w:pPr>
        <w:jc w:val="center"/>
      </w:pPr>
      <w:r>
        <w:rPr>
          <w:rFonts w:ascii="Arial" w:hAnsi="Arial"/>
          <w:i/>
          <w:color w:val="475569"/>
          <w:sz w:val="21"/>
        </w:rPr>
        <w:t>Modèle conforme au référentiel officiel pour la soutenance orale devant la commission d'examen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3168"/>
            <w:shd w:val="clear" w:color="auto" w:fill="EFF6FF"/>
          </w:tcPr>
          <w:p>
            <w:r>
              <w:rPr>
                <w:b/>
                <w:color w:val="1E3A8A"/>
                <w:sz w:val="19"/>
              </w:rPr>
              <w:t>Diplôme / Épreuve</w:t>
            </w:r>
          </w:p>
        </w:tc>
        <w:tc>
          <w:tcPr>
            <w:tcW w:type="dxa" w:w="6192"/>
            <w:shd w:val="clear" w:color="auto" w:fill="F8FAFC"/>
          </w:tcPr>
          <w:p>
            <w:r>
              <w:rPr>
                <w:color w:val="0F172A"/>
                <w:sz w:val="19"/>
              </w:rPr>
              <w:t>Dossier de Projet Épreuve E6</w:t>
            </w:r>
          </w:p>
        </w:tc>
      </w:tr>
      <w:tr>
        <w:tc>
          <w:tcPr>
            <w:tcW w:type="dxa" w:w="3168"/>
            <w:shd w:val="clear" w:color="auto" w:fill="EFF6FF"/>
          </w:tcPr>
          <w:p>
            <w:r>
              <w:rPr>
                <w:b/>
                <w:color w:val="1E3A8A"/>
                <w:sz w:val="19"/>
              </w:rPr>
              <w:t>Session</w:t>
            </w:r>
          </w:p>
        </w:tc>
        <w:tc>
          <w:tcPr>
            <w:tcW w:type="dxa" w:w="6192"/>
            <w:shd w:val="clear" w:color="auto" w:fill="F8FAFC"/>
          </w:tcPr>
          <w:p>
            <w:r>
              <w:rPr>
                <w:color w:val="0F172A"/>
                <w:sz w:val="19"/>
              </w:rPr>
              <w:t>2026 (Référentiel National)</w:t>
            </w:r>
          </w:p>
        </w:tc>
      </w:tr>
      <w:tr>
        <w:tc>
          <w:tcPr>
            <w:tcW w:type="dxa" w:w="3168"/>
            <w:shd w:val="clear" w:color="auto" w:fill="EFF6FF"/>
          </w:tcPr>
          <w:p>
            <w:r>
              <w:rPr>
                <w:b/>
                <w:color w:val="1E3A8A"/>
                <w:sz w:val="19"/>
              </w:rPr>
              <w:t>Cadre Réglementaire</w:t>
            </w:r>
          </w:p>
        </w:tc>
        <w:tc>
          <w:tcPr>
            <w:tcW w:type="dxa" w:w="6192"/>
            <w:shd w:val="clear" w:color="auto" w:fill="F8FAFC"/>
          </w:tcPr>
          <w:p>
            <w:r>
              <w:rPr>
                <w:color w:val="0F172A"/>
                <w:sz w:val="19"/>
              </w:rPr>
              <w:t>BTS Gestion des Transports et Logistique Associée • Épreuve E6 • Coef 4</w:t>
            </w:r>
          </w:p>
        </w:tc>
      </w:tr>
    </w:tbl>
    <w:p/>
    <w:p>
      <w:pPr>
        <w:pStyle w:val="Heading1"/>
      </w:pPr>
      <w:r>
        <w:rPr>
          <w:rFonts w:ascii="Arial" w:hAnsi="Arial"/>
          <w:b/>
          <w:color w:val="1E40AF"/>
          <w:sz w:val="26"/>
        </w:rPr>
        <w:t>1. Diagnostic Opérationnel &amp; Optimisation d'un Plan de Transport Routier</w:t>
      </w:r>
    </w:p>
    <w:p>
      <w:r>
        <w:rPr>
          <w:i/>
          <w:color w:val="64748B"/>
          <w:sz w:val="19"/>
        </w:rPr>
        <w:t>Le projet doit apporter une réponse mesurable à une problématique logistique réelle (optimisation de tournées, réduction de l'empreinte carbone, multimodalité).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  <w:shd w:val="clear" w:color="auto" w:fill="1E3A8A"/>
          </w:tcPr>
          <w:p>
            <w:r>
              <w:rPr>
                <w:b/>
                <w:color w:val="FFFFFF"/>
                <w:sz w:val="18"/>
              </w:rPr>
              <w:t>Élément Clé</w:t>
            </w:r>
          </w:p>
        </w:tc>
        <w:tc>
          <w:tcPr>
            <w:tcW w:type="dxa" w:w="3249"/>
            <w:shd w:val="clear" w:color="auto" w:fill="1E3A8A"/>
          </w:tcPr>
          <w:p>
            <w:r>
              <w:rPr>
                <w:b/>
                <w:color w:val="FFFFFF"/>
                <w:sz w:val="18"/>
              </w:rPr>
              <w:t>Phase / Domaine</w:t>
            </w:r>
          </w:p>
        </w:tc>
        <w:tc>
          <w:tcPr>
            <w:tcW w:type="dxa" w:w="3249"/>
            <w:shd w:val="clear" w:color="auto" w:fill="1E3A8A"/>
          </w:tcPr>
          <w:p>
            <w:r>
              <w:rPr>
                <w:b/>
                <w:color w:val="FFFFFF"/>
                <w:sz w:val="18"/>
              </w:rPr>
              <w:t>Attendus Officiels &amp; Critères</w:t>
            </w:r>
          </w:p>
        </w:tc>
      </w:tr>
      <w:tr>
        <w:tc>
          <w:tcPr>
            <w:tcW w:type="dxa" w:w="3249"/>
            <w:shd w:val="clear" w:color="auto" w:fill="FFFFFF"/>
          </w:tcPr>
          <w:p>
            <w:r>
              <w:rPr>
                <w:color w:val="1E293B"/>
                <w:sz w:val="18"/>
              </w:rPr>
              <w:t>Entreprise support</w:t>
            </w:r>
          </w:p>
        </w:tc>
        <w:tc>
          <w:tcPr>
            <w:tcW w:type="dxa" w:w="3249"/>
            <w:shd w:val="clear" w:color="auto" w:fill="FFFFFF"/>
          </w:tcPr>
          <w:p>
            <w:r>
              <w:rPr>
                <w:color w:val="1E293B"/>
                <w:sz w:val="18"/>
              </w:rPr>
              <w:t>Contexte et flotte</w:t>
            </w:r>
          </w:p>
        </w:tc>
        <w:tc>
          <w:tcPr>
            <w:tcW w:type="dxa" w:w="3249"/>
            <w:shd w:val="clear" w:color="auto" w:fill="FFFFFF"/>
          </w:tcPr>
          <w:p>
            <w:r>
              <w:rPr>
                <w:color w:val="1E293B"/>
                <w:sz w:val="18"/>
              </w:rPr>
              <w:t>Transporteur régional exploitant 42 ensembles routiers articulés (tracteur + semi tautliner)</w:t>
            </w:r>
          </w:p>
        </w:tc>
      </w:tr>
      <w:tr>
        <w:tc>
          <w:tcPr>
            <w:tcW w:type="dxa" w:w="3249"/>
            <w:shd w:val="clear" w:color="auto" w:fill="F8FAFC"/>
          </w:tcPr>
          <w:p>
            <w:r>
              <w:rPr>
                <w:color w:val="1E293B"/>
                <w:sz w:val="18"/>
              </w:rPr>
              <w:t>Problématique identifiée</w:t>
            </w:r>
          </w:p>
        </w:tc>
        <w:tc>
          <w:tcPr>
            <w:tcW w:type="dxa" w:w="3249"/>
            <w:shd w:val="clear" w:color="auto" w:fill="F8FAFC"/>
          </w:tcPr>
          <w:p>
            <w:r>
              <w:rPr>
                <w:color w:val="1E293B"/>
                <w:sz w:val="18"/>
              </w:rPr>
              <w:t>Dysfonctionnement constaté</w:t>
            </w:r>
          </w:p>
        </w:tc>
        <w:tc>
          <w:tcPr>
            <w:tcW w:type="dxa" w:w="3249"/>
            <w:shd w:val="clear" w:color="auto" w:fill="F8FAFC"/>
          </w:tcPr>
          <w:p>
            <w:r>
              <w:rPr>
                <w:color w:val="1E293B"/>
                <w:sz w:val="18"/>
              </w:rPr>
              <w:t>Taux de parcours à vide de 24% sur les retours inter-régionaux et hausse du coût carburant</w:t>
            </w:r>
          </w:p>
        </w:tc>
      </w:tr>
      <w:tr>
        <w:tc>
          <w:tcPr>
            <w:tcW w:type="dxa" w:w="3249"/>
            <w:shd w:val="clear" w:color="auto" w:fill="FFFFFF"/>
          </w:tcPr>
          <w:p>
            <w:r>
              <w:rPr>
                <w:color w:val="1E293B"/>
                <w:sz w:val="18"/>
              </w:rPr>
              <w:t>Solution proposée</w:t>
            </w:r>
          </w:p>
        </w:tc>
        <w:tc>
          <w:tcPr>
            <w:tcW w:type="dxa" w:w="3249"/>
            <w:shd w:val="clear" w:color="auto" w:fill="FFFFFF"/>
          </w:tcPr>
          <w:p>
            <w:r>
              <w:rPr>
                <w:color w:val="1E293B"/>
                <w:sz w:val="18"/>
              </w:rPr>
              <w:t>Plan d'action logistique</w:t>
            </w:r>
          </w:p>
        </w:tc>
        <w:tc>
          <w:tcPr>
            <w:tcW w:type="dxa" w:w="3249"/>
            <w:shd w:val="clear" w:color="auto" w:fill="FFFFFF"/>
          </w:tcPr>
          <w:p>
            <w:r>
              <w:rPr>
                <w:color w:val="1E293B"/>
                <w:sz w:val="18"/>
              </w:rPr>
              <w:t>Déploiement d'un logiciel d'optimisation de tournées (TMS) et partenariat avec une bourse de fret</w:t>
            </w:r>
          </w:p>
        </w:tc>
      </w:tr>
      <w:tr>
        <w:tc>
          <w:tcPr>
            <w:tcW w:type="dxa" w:w="3249"/>
            <w:shd w:val="clear" w:color="auto" w:fill="F8FAFC"/>
          </w:tcPr>
          <w:p>
            <w:r>
              <w:rPr>
                <w:color w:val="1E293B"/>
                <w:sz w:val="18"/>
              </w:rPr>
              <w:t>Investissement &amp; Coûts</w:t>
            </w:r>
          </w:p>
        </w:tc>
        <w:tc>
          <w:tcPr>
            <w:tcW w:type="dxa" w:w="3249"/>
            <w:shd w:val="clear" w:color="auto" w:fill="F8FAFC"/>
          </w:tcPr>
          <w:p>
            <w:r>
              <w:rPr>
                <w:color w:val="1E293B"/>
                <w:sz w:val="18"/>
              </w:rPr>
              <w:t>Budget prévisionnel</w:t>
            </w:r>
          </w:p>
        </w:tc>
        <w:tc>
          <w:tcPr>
            <w:tcW w:type="dxa" w:w="3249"/>
            <w:shd w:val="clear" w:color="auto" w:fill="F8FAFC"/>
          </w:tcPr>
          <w:p>
            <w:r>
              <w:rPr>
                <w:color w:val="1E293B"/>
                <w:sz w:val="18"/>
              </w:rPr>
              <w:t>Coût licences TMS : 14 000 €, formation exploitants : 3 500 €, amortissement sur 3 ans</w:t>
            </w:r>
          </w:p>
        </w:tc>
      </w:tr>
      <w:tr>
        <w:tc>
          <w:tcPr>
            <w:tcW w:type="dxa" w:w="3249"/>
            <w:shd w:val="clear" w:color="auto" w:fill="FFFFFF"/>
          </w:tcPr>
          <w:p>
            <w:r>
              <w:rPr>
                <w:color w:val="1E293B"/>
                <w:sz w:val="18"/>
              </w:rPr>
              <w:t>Résultats quantitatifs</w:t>
            </w:r>
          </w:p>
        </w:tc>
        <w:tc>
          <w:tcPr>
            <w:tcW w:type="dxa" w:w="3249"/>
            <w:shd w:val="clear" w:color="auto" w:fill="FFFFFF"/>
          </w:tcPr>
          <w:p>
            <w:r>
              <w:rPr>
                <w:color w:val="1E293B"/>
                <w:sz w:val="18"/>
              </w:rPr>
              <w:t>Gains après 6 mois</w:t>
            </w:r>
          </w:p>
        </w:tc>
        <w:tc>
          <w:tcPr>
            <w:tcW w:type="dxa" w:w="3249"/>
            <w:shd w:val="clear" w:color="auto" w:fill="FFFFFF"/>
          </w:tcPr>
          <w:p>
            <w:r>
              <w:rPr>
                <w:color w:val="1E293B"/>
                <w:sz w:val="18"/>
              </w:rPr>
              <w:t>Baisse des kilomètres à vide à 12%, économie de 38 000 litres de gazole/an, ROI atteint en 8 mois</w:t>
            </w:r>
          </w:p>
        </w:tc>
      </w:tr>
    </w:tbl>
    <w:p/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